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2F" w:rsidRDefault="00704E2F" w:rsidP="00704E2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Формы обращений граждан</w:t>
      </w:r>
    </w:p>
    <w:p w:rsidR="00704E2F" w:rsidRDefault="00704E2F" w:rsidP="00704E2F">
      <w:pPr>
        <w:shd w:val="clear" w:color="auto" w:fill="EEEEEE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Формы обращений граждан</w:t>
      </w:r>
    </w:p>
    <w:p w:rsidR="00704E2F" w:rsidRDefault="00704E2F" w:rsidP="00704E2F">
      <w:pPr>
        <w:shd w:val="clear" w:color="auto" w:fill="EEEEEE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Формы обращений граждан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Формы обращений граждан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Правовое регулирование правоотношений, связанных с рассмотрением обращений граждан  в Администрации  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Лебяженского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Курской области регулируются  Конституцией Российской Федерации, международными договорами Российской Федерации, федеральными конституционными законами, Федеральным законом от 2 мая 2006 года № 59-ФЗ «О порядке рассмотрения обращений граждан Российской Федерации»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целей настоящего Федерального закона используются следующие основные термины: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обращение гражданина</w:t>
      </w:r>
      <w:r>
        <w:rPr>
          <w:rFonts w:ascii="Tahoma" w:hAnsi="Tahoma" w:cs="Tahoma"/>
          <w:color w:val="000000"/>
          <w:sz w:val="12"/>
          <w:szCs w:val="12"/>
        </w:rPr>
        <w:t> 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предложение </w:t>
      </w:r>
      <w:r>
        <w:rPr>
          <w:rFonts w:ascii="Tahoma" w:hAnsi="Tahoma" w:cs="Tahoma"/>
          <w:color w:val="000000"/>
          <w:sz w:val="12"/>
          <w:szCs w:val="12"/>
        </w:rPr>
        <w:t>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заявление </w:t>
      </w:r>
      <w:r>
        <w:rPr>
          <w:rFonts w:ascii="Tahoma" w:hAnsi="Tahoma" w:cs="Tahoma"/>
          <w:color w:val="000000"/>
          <w:sz w:val="12"/>
          <w:szCs w:val="12"/>
        </w:rPr>
        <w:t>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жалоба</w:t>
      </w:r>
      <w:r>
        <w:rPr>
          <w:rFonts w:ascii="Tahoma" w:hAnsi="Tahoma" w:cs="Tahoma"/>
          <w:color w:val="000000"/>
          <w:sz w:val="12"/>
          <w:szCs w:val="12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 </w:t>
      </w:r>
      <w:r>
        <w:rPr>
          <w:rStyle w:val="ac"/>
          <w:rFonts w:ascii="Tahoma" w:hAnsi="Tahoma" w:cs="Tahoma"/>
          <w:color w:val="000000"/>
          <w:sz w:val="12"/>
          <w:szCs w:val="12"/>
        </w:rPr>
        <w:t>должностное лицо</w:t>
      </w:r>
      <w:r>
        <w:rPr>
          <w:rFonts w:ascii="Tahoma" w:hAnsi="Tahoma" w:cs="Tahoma"/>
          <w:color w:val="000000"/>
          <w:sz w:val="12"/>
          <w:szCs w:val="12"/>
        </w:rPr>
        <w:t> - лицо, постоянно, временно или по специальному полномочию осуществляющее функции представителя власти либо выполняющее организац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Права гражданина при рассмотрении обращения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представлять дополнительные документы и материалы либо обращаться с просьбой об их истребовании, в том числе в электронной форме (в ред. Федерального зак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на от 27.07.2010 N 227-ФЗ)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обращаться с заявлением о прекращении рассмотрения обращения.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Требования к письменному обращению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ставит личную подпись и дату.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менной форме.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Направление и регистрация письменного обращения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тенцию которых входит решение поставленных в обращении вопросов.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настоящего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Федерального закона.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</w:t>
      </w:r>
      <w:r>
        <w:rPr>
          <w:rFonts w:ascii="Tahoma" w:hAnsi="Tahoma" w:cs="Tahoma"/>
          <w:color w:val="000000"/>
          <w:sz w:val="12"/>
          <w:szCs w:val="12"/>
        </w:rPr>
        <w:t>у</w:t>
      </w:r>
      <w:r>
        <w:rPr>
          <w:rFonts w:ascii="Tahoma" w:hAnsi="Tahoma" w:cs="Tahoma"/>
          <w:color w:val="000000"/>
          <w:sz w:val="12"/>
          <w:szCs w:val="12"/>
        </w:rPr>
        <w:t>менты и материалы о результатах рассмотрения письменного обращения.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 xml:space="preserve">вие)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которых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обжалуется.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в соответствии с запретом, предусмотренным частью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Обязательность принятия обращения к рассмотрению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му рассмотрению.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рение с выездом на место.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Рассмотрение обращения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Государственный орган, орган местного самоуправления или должностное лицо: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ного самоуправления и у иных должностных лиц, за исключением судов, органов дознания и органов предварительного следствия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;(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в ред. Федерального закона от 27.07.2010 N 227-ФЗ)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ным законом тайну, и для которых установлен особый порядок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предоставления.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Порядок рассмотрения отдельных обращений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 xml:space="preserve">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>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Сроки рассмотрения письменного обращения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</w:t>
      </w: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</w:rPr>
        <w:t>вается в течение 30 дней со дня регистрации письменного обращения.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</w:t>
      </w:r>
      <w:r>
        <w:rPr>
          <w:rFonts w:ascii="Tahoma" w:hAnsi="Tahoma" w:cs="Tahoma"/>
          <w:color w:val="000000"/>
          <w:sz w:val="12"/>
          <w:szCs w:val="12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Личный прием граждан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При личном приеме гражданин предъявляет документ, удостоверяющий его личность.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В случае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,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нии вопросов.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соблюдением порядка рассмотрения обращений</w:t>
      </w:r>
    </w:p>
    <w:p w:rsidR="00704E2F" w:rsidRDefault="00704E2F" w:rsidP="00704E2F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соблюдением порядка ра</w:t>
      </w:r>
      <w:r>
        <w:rPr>
          <w:rFonts w:ascii="Tahoma" w:hAnsi="Tahoma" w:cs="Tahoma"/>
          <w:color w:val="000000"/>
          <w:sz w:val="12"/>
          <w:szCs w:val="12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смотрения обращений, анализируют содержание поступающих обращений, принимают меры по своевременному выявлению и устранению причин нарушения прав, св</w:t>
      </w:r>
      <w:r>
        <w:rPr>
          <w:rFonts w:ascii="Tahoma" w:hAnsi="Tahoma" w:cs="Tahoma"/>
          <w:color w:val="000000"/>
          <w:sz w:val="12"/>
          <w:szCs w:val="12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бод и законных интересов граждан.</w:t>
      </w:r>
    </w:p>
    <w:p w:rsidR="001C7D3C" w:rsidRPr="00704E2F" w:rsidRDefault="001C7D3C" w:rsidP="00704E2F">
      <w:pPr>
        <w:rPr>
          <w:szCs w:val="16"/>
        </w:rPr>
      </w:pPr>
    </w:p>
    <w:sectPr w:rsidR="001C7D3C" w:rsidRPr="00704E2F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2E" w:rsidRDefault="00A75F2E" w:rsidP="00D54FB2">
      <w:r>
        <w:separator/>
      </w:r>
    </w:p>
  </w:endnote>
  <w:endnote w:type="continuationSeparator" w:id="0">
    <w:p w:rsidR="00A75F2E" w:rsidRDefault="00A75F2E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2E" w:rsidRDefault="00A75F2E" w:rsidP="00D54FB2">
      <w:r>
        <w:separator/>
      </w:r>
    </w:p>
  </w:footnote>
  <w:footnote w:type="continuationSeparator" w:id="0">
    <w:p w:rsidR="00A75F2E" w:rsidRDefault="00A75F2E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704E2F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5F2E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B7C7-627E-406F-8A5E-BF0849DA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121</cp:revision>
  <cp:lastPrinted>2019-04-17T05:45:00Z</cp:lastPrinted>
  <dcterms:created xsi:type="dcterms:W3CDTF">2017-04-04T05:50:00Z</dcterms:created>
  <dcterms:modified xsi:type="dcterms:W3CDTF">2024-08-29T07:50:00Z</dcterms:modified>
</cp:coreProperties>
</file>