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05" w:rsidRDefault="00CC3005" w:rsidP="00CC300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 С Т А Н О В Л Е Н И Е от 18 декабря 2023 № 218 "Об утверждении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Щетинский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сельсовет" Курского района Курской области"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АДМИНИСТРАЦИЯ ЩЕТИНСКОГО СЕЛЬСОВЕТА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КУРСКОГО РАЙОНА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Style w:val="ac"/>
          <w:rFonts w:ascii="Tahoma" w:hAnsi="Tahoma" w:cs="Tahoma"/>
          <w:color w:val="000000"/>
          <w:sz w:val="12"/>
          <w:szCs w:val="12"/>
        </w:rPr>
        <w:t>П</w:t>
      </w:r>
      <w:proofErr w:type="gramEnd"/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 О С Т А Н О В Л Е Н И Е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от 18 декабря 2023 № 218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 утверждении Программы профилактики рисков            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сельсовет" Курского района Курской области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Курской области</w:t>
      </w:r>
      <w:r>
        <w:rPr>
          <w:rStyle w:val="ac"/>
          <w:rFonts w:ascii="Tahoma" w:hAnsi="Tahoma" w:cs="Tahoma"/>
          <w:color w:val="000000"/>
          <w:sz w:val="12"/>
          <w:szCs w:val="12"/>
        </w:rPr>
        <w:t>                               </w:t>
      </w:r>
      <w:proofErr w:type="gramEnd"/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ПОСТАНОВЛЯЕТ: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1. 1. Утвердить Программу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сельсовет" Курского района Курской области.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постановления оставляю за собой.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 в сети «Интернет».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                                                                                Курского района                                                                                    С.В.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Стребков</w:t>
      </w:r>
      <w:proofErr w:type="spellEnd"/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 постановлению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18.12.2023 № 218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ПРОГРАММА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>
        <w:rPr>
          <w:rStyle w:val="ac"/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 сельсовет" Курского района Курской области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Паспорт программы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5"/>
        <w:gridCol w:w="6525"/>
      </w:tblGrid>
      <w:tr w:rsidR="00CC3005" w:rsidTr="00CC3005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Программа профилактики рисков причинения вреда (ущерба) охраняемым законом ценностям на 2024 год при осуществл</w:t>
            </w:r>
            <w:r>
              <w:rPr>
                <w:sz w:val="12"/>
                <w:szCs w:val="12"/>
              </w:rPr>
              <w:t>е</w:t>
            </w:r>
            <w:r>
              <w:rPr>
                <w:sz w:val="12"/>
                <w:szCs w:val="12"/>
              </w:rPr>
              <w:t>нии муниципального контроля в сфере благоустройства на территории муниципального образования "</w:t>
            </w:r>
            <w:proofErr w:type="spellStart"/>
            <w:r>
              <w:rPr>
                <w:sz w:val="12"/>
                <w:szCs w:val="12"/>
              </w:rPr>
              <w:t>Щетинский</w:t>
            </w:r>
            <w:proofErr w:type="spellEnd"/>
            <w:r>
              <w:rPr>
                <w:sz w:val="12"/>
                <w:szCs w:val="12"/>
              </w:rPr>
              <w:t xml:space="preserve"> сельс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вет" Курского района Курской области (далее – программа профилактики)</w:t>
            </w:r>
          </w:p>
        </w:tc>
      </w:tr>
      <w:tr w:rsidR="00CC3005" w:rsidTr="00CC3005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Правовые основания разработки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законот31.07.2020№ 248-Ф «О государственном контрол</w:t>
            </w:r>
            <w:proofErr w:type="gramStart"/>
            <w:r>
              <w:rPr>
                <w:sz w:val="12"/>
                <w:szCs w:val="12"/>
              </w:rPr>
              <w:t>е(</w:t>
            </w:r>
            <w:proofErr w:type="gramEnd"/>
            <w:r>
              <w:rPr>
                <w:sz w:val="12"/>
                <w:szCs w:val="12"/>
              </w:rPr>
              <w:t>надзоре) и муниципальном контроле в Российской Федерации»,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CC3005" w:rsidTr="00CC3005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Разработчик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 Курского района</w:t>
            </w:r>
          </w:p>
        </w:tc>
      </w:tr>
      <w:tr w:rsidR="00CC3005" w:rsidTr="00CC3005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Цель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1) предотвращение рисков причинения вреда охраняемым законом ценностям;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2) предупреждение </w:t>
            </w:r>
            <w:proofErr w:type="gramStart"/>
            <w:r>
              <w:rPr>
                <w:sz w:val="12"/>
                <w:szCs w:val="12"/>
              </w:rPr>
              <w:t>нарушений</w:t>
            </w:r>
            <w:proofErr w:type="gramEnd"/>
            <w:r>
              <w:rPr>
                <w:sz w:val="12"/>
                <w:szCs w:val="12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3) мотивация контролируемых лиц к добросовестному поведению и, как следствие, снижение административных и фина</w:t>
            </w:r>
            <w:r>
              <w:rPr>
                <w:sz w:val="12"/>
                <w:szCs w:val="12"/>
              </w:rPr>
              <w:t>н</w:t>
            </w:r>
            <w:r>
              <w:rPr>
                <w:sz w:val="12"/>
                <w:szCs w:val="12"/>
              </w:rPr>
              <w:t>совых издержек контролируемых лиц;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4) обеспечение прозрачности контрольной деятельности и информационной открытости;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5) информирование контролируемых лиц и иных заинтересованных лиц по вопросам соблюдения обязательных требований.</w:t>
            </w:r>
          </w:p>
        </w:tc>
      </w:tr>
      <w:tr w:rsidR="00CC3005" w:rsidTr="00CC3005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Задачи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1) выявление причин, факторов и условий, способствующих причинению вреда охраняемым законам ценностям и наруш</w:t>
            </w:r>
            <w:r>
              <w:rPr>
                <w:sz w:val="12"/>
                <w:szCs w:val="12"/>
              </w:rPr>
              <w:t>е</w:t>
            </w:r>
            <w:r>
              <w:rPr>
                <w:sz w:val="12"/>
                <w:szCs w:val="12"/>
              </w:rPr>
              <w:t>нию обязательных требований, определение способов устранения или снижения рисков их возникновения;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2) устранение причин, факторов и условий, способствующих возможному причинению вреда охраняемым законом ценн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стям и нарушению обязательных требований;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3) 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4) сбор данных об объектах контроля и контролируемых лицах для организации профилактической работы;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5) повышение квалификации должностных лиц управления муниципального контроля, осуществляющих контрольные мероприятия;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6) 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7) информирование контролируемых лиц о видах правонарушений, рекомендаций по их недопущению и устранению.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CC3005" w:rsidTr="00CC3005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 реализации программы профилактики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2024 год</w:t>
            </w:r>
          </w:p>
        </w:tc>
      </w:tr>
      <w:tr w:rsidR="00CC3005" w:rsidTr="00CC3005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Минимизирование количества нарушений субъектами профилактики обязательных требований, установленных Правил</w:t>
            </w:r>
            <w:r>
              <w:rPr>
                <w:sz w:val="12"/>
                <w:szCs w:val="12"/>
              </w:rPr>
              <w:t>а</w:t>
            </w:r>
            <w:r>
              <w:rPr>
                <w:sz w:val="12"/>
                <w:szCs w:val="12"/>
              </w:rPr>
              <w:t>ми благоустройства;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 Повышение правосознания и правовой культуры контролируемых лиц.</w:t>
            </w:r>
          </w:p>
        </w:tc>
      </w:tr>
    </w:tbl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1. Анализ текущего состояния осуществления муниципального контроля в сфере благоустройства, описание текущего состояния профилактической деятельности Администрации </w:t>
      </w:r>
      <w:proofErr w:type="spellStart"/>
      <w:r>
        <w:rPr>
          <w:rStyle w:val="ac"/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 сельсовета Курского района, характеристика проблем, на решение которых направлена программа проф</w:t>
      </w:r>
      <w:r>
        <w:rPr>
          <w:rStyle w:val="ac"/>
          <w:rFonts w:ascii="Tahoma" w:hAnsi="Tahoma" w:cs="Tahoma"/>
          <w:color w:val="000000"/>
          <w:sz w:val="12"/>
          <w:szCs w:val="12"/>
        </w:rPr>
        <w:t>и</w:t>
      </w:r>
      <w:r>
        <w:rPr>
          <w:rStyle w:val="ac"/>
          <w:rFonts w:ascii="Tahoma" w:hAnsi="Tahoma" w:cs="Tahoma"/>
          <w:color w:val="000000"/>
          <w:sz w:val="12"/>
          <w:szCs w:val="12"/>
        </w:rPr>
        <w:t>лактики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1.1.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Одним из важных направлений деятельности органов местного самоуправления является организация и проведение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 проверок соблюдения юридическими лицами, индивидуальными предпринимателями и гражданами обязател</w:t>
      </w:r>
      <w:r>
        <w:rPr>
          <w:rFonts w:ascii="Tahoma" w:hAnsi="Tahoma" w:cs="Tahoma"/>
          <w:color w:val="000000"/>
          <w:sz w:val="12"/>
          <w:szCs w:val="12"/>
        </w:rPr>
        <w:t>ь</w:t>
      </w:r>
      <w:r>
        <w:rPr>
          <w:rFonts w:ascii="Tahoma" w:hAnsi="Tahoma" w:cs="Tahoma"/>
          <w:color w:val="000000"/>
          <w:sz w:val="12"/>
          <w:szCs w:val="12"/>
        </w:rPr>
        <w:t>ных требований, установленных законами и нормативными правовыми актами Российской Федерации, законами и нормативными правовым актами Курской области, Правилами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области.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Данные полномочия реализуются Адм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 xml:space="preserve">нистрацией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при осуществлении муниципальной функции по осуществлению муниципального контроля в сфере благоустройства.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Подконтрольными субъектами, в отношении которых осуществляется муниципальный контроль в сфере благоустройства (далее – контролируемые лица):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юридические лица;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индивидуальные предприниматели;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физические лица.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1.2. За текущий период 2023 года в рамках муниципального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контроля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соблюдением Правил благоустройства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плановые и внепл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 xml:space="preserve">новые проверки, мероприятия по контролю без взаимодействия с субъектами контроля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не проводились.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Эксперты и представители экспертных организаций к проведению проверок не привлекались.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в 2023 году проведена следующая работа: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осуществлено консультирование подконтрольных субъектов по вопросам соблюдения обязательных требований;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проведены профилактические визиты по месту деятельности контролируемых лиц.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В процессе осуществления муниципального контроля в сфере благоустройства ведется информативно-разъяснительная работа с подконтрольными субъектами (оказыв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ется консультативная помощь, даются разъяснения по вопросам соблюдения обязательных требований в устной форме).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1.4.</w:t>
      </w: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 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2. Цели и задачи реализации программы профилактики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2.1.           Профилактика рисков причинения вреда (ущерба) охраняемым законом ценностям - это системно организованная деятельность управления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предотвращению рисков причинения вреда охраняемым законом ценностям;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предупреждению нарушений контролируемыми лицами обязательных требований, включая устранение причин, факторов и условий, способствующих возможному нар</w:t>
      </w:r>
      <w:r>
        <w:rPr>
          <w:rFonts w:ascii="Tahoma" w:hAnsi="Tahoma" w:cs="Tahoma"/>
          <w:color w:val="000000"/>
          <w:sz w:val="12"/>
          <w:szCs w:val="12"/>
        </w:rPr>
        <w:t>у</w:t>
      </w:r>
      <w:r>
        <w:rPr>
          <w:rFonts w:ascii="Tahoma" w:hAnsi="Tahoma" w:cs="Tahoma"/>
          <w:color w:val="000000"/>
          <w:sz w:val="12"/>
          <w:szCs w:val="12"/>
        </w:rPr>
        <w:t>шению обязательных требований;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мотивации контролируемых лиц к добросовестному поведению и, как следствие, снижение административных и финансовых издержек контролируемых лиц;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обеспечению прозрачности контрольной деятельности и информационной открытости;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информированию контролируемых лиц и иных заинтересованных лиц по вопросам соблюдения обязательных требований.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 2.2. Проведение профилактических мероприятий позволит решить следующие задачи: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бов устранения или снижения рисков их возникновения;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сбор данных об объектах контроля и контролируемых лицах для организации профилактической работы;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повышение квалификации должностных лиц управления муниципального контроля, осуществляющих контрольные мероприятия;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информирование контролируемых лиц о видах правонарушений, рекомендаций по их недопущению и устранению.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3. Перечень профилактических мероприятий, сроки (периодичность) их проведения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3.1.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муниципального образования "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сельсовет" Курского района Курской области, утвержденном решением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сельсовета, проводятся следующие профилактические меропри</w:t>
      </w:r>
      <w:r>
        <w:rPr>
          <w:rFonts w:ascii="Tahoma" w:hAnsi="Tahoma" w:cs="Tahoma"/>
          <w:color w:val="000000"/>
          <w:sz w:val="12"/>
          <w:szCs w:val="12"/>
        </w:rPr>
        <w:t>я</w:t>
      </w:r>
      <w:r>
        <w:rPr>
          <w:rFonts w:ascii="Tahoma" w:hAnsi="Tahoma" w:cs="Tahoma"/>
          <w:color w:val="000000"/>
          <w:sz w:val="12"/>
          <w:szCs w:val="12"/>
        </w:rPr>
        <w:t>тия: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информирование;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обобщение правоприменительной практики;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объявление предостережений;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консультирование;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5) профилактический визит.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3.2. Перечень профилактических мероприятий с указанием сроков (периодичности) их проведения, ответственных за их осуществление: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4222"/>
        <w:gridCol w:w="2793"/>
        <w:gridCol w:w="2138"/>
      </w:tblGrid>
      <w:tr w:rsidR="00CC3005" w:rsidTr="00CC3005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sz w:val="12"/>
                <w:szCs w:val="12"/>
              </w:rPr>
              <w:t>п</w:t>
            </w:r>
            <w:proofErr w:type="spellEnd"/>
            <w:proofErr w:type="gramEnd"/>
            <w:r>
              <w:rPr>
                <w:sz w:val="12"/>
                <w:szCs w:val="12"/>
              </w:rPr>
              <w:t>/</w:t>
            </w:r>
            <w:proofErr w:type="spellStart"/>
            <w:r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проводимого мероприятия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 исполнения</w:t>
            </w:r>
          </w:p>
        </w:tc>
      </w:tr>
      <w:tr w:rsidR="00CC3005" w:rsidTr="00CC3005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</w:t>
            </w:r>
            <w:r>
              <w:rPr>
                <w:sz w:val="12"/>
                <w:szCs w:val="12"/>
              </w:rPr>
              <w:t>р</w:t>
            </w:r>
            <w:r>
              <w:rPr>
                <w:sz w:val="12"/>
                <w:szCs w:val="12"/>
              </w:rPr>
              <w:t>мации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сельсовета/Глава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течение года</w:t>
            </w:r>
          </w:p>
        </w:tc>
      </w:tr>
      <w:tr w:rsidR="00CC3005" w:rsidTr="00CC3005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1.1.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Актуализация и размещение в сети «Интернет» на официальном сайте муниц</w:t>
            </w:r>
            <w:r>
              <w:rPr>
                <w:sz w:val="12"/>
                <w:szCs w:val="12"/>
              </w:rPr>
              <w:t>и</w:t>
            </w:r>
            <w:r>
              <w:rPr>
                <w:sz w:val="12"/>
                <w:szCs w:val="12"/>
              </w:rPr>
              <w:t>пального образования «</w:t>
            </w:r>
            <w:proofErr w:type="spellStart"/>
            <w:r>
              <w:rPr>
                <w:sz w:val="12"/>
                <w:szCs w:val="12"/>
              </w:rPr>
              <w:t>Щетинский</w:t>
            </w:r>
            <w:proofErr w:type="spellEnd"/>
            <w:r>
              <w:rPr>
                <w:sz w:val="12"/>
                <w:szCs w:val="12"/>
              </w:rPr>
              <w:t xml:space="preserve"> сельсовет» Курского района Курской области: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а) перечня нормативных правовых актов, содержащих обязательные требов</w:t>
            </w:r>
            <w:r>
              <w:rPr>
                <w:sz w:val="12"/>
                <w:szCs w:val="12"/>
              </w:rPr>
              <w:t>а</w:t>
            </w:r>
            <w:r>
              <w:rPr>
                <w:sz w:val="12"/>
                <w:szCs w:val="12"/>
              </w:rPr>
              <w:t>ния, оценка соблюдения которых осуществляется в рамках муниципального контроля в сфере благоустройства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б) материалов, информационных писем, руководств по соблюдению обязател</w:t>
            </w:r>
            <w:r>
              <w:rPr>
                <w:sz w:val="12"/>
                <w:szCs w:val="12"/>
              </w:rPr>
              <w:t>ь</w:t>
            </w:r>
            <w:r>
              <w:rPr>
                <w:sz w:val="12"/>
                <w:szCs w:val="12"/>
              </w:rPr>
              <w:t>ных требований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в) перечня индикаторов риска нарушения обязательных требований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г) программы профилактики рисков причинения вреда (ущерба) охраняемым законом ценностям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CC3005" w:rsidTr="00CC3005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Обобщение правоприменительной практики осуществления муниципального контроля (надзора) в сфере благоустройства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сельсовета/Глава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Один раз в год не позднее 1 июля 2023 года</w:t>
            </w:r>
          </w:p>
        </w:tc>
      </w:tr>
      <w:tr w:rsidR="00CC3005" w:rsidTr="00CC3005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Объявление контролируемым лицам предостережений о недопустимости нарушения обязательных требований законодательства в сфере благоустройс</w:t>
            </w:r>
            <w:r>
              <w:rPr>
                <w:sz w:val="12"/>
                <w:szCs w:val="12"/>
              </w:rPr>
              <w:t>т</w:t>
            </w:r>
            <w:r>
              <w:rPr>
                <w:sz w:val="12"/>
                <w:szCs w:val="12"/>
              </w:rPr>
              <w:t>ва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сельсовета/Глава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течение года при наличии оснований</w:t>
            </w:r>
          </w:p>
        </w:tc>
      </w:tr>
      <w:tr w:rsidR="00CC3005" w:rsidTr="00CC3005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Консультирование осуществляется по вопросам, связанным с организацией и осуществлением муниципального контроля: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2) порядок проведения контрольного (надзорного) мероприятия;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3) порядок принятия решений по итогам профилактических и контрольных (надзорных) мероприятий;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4) порядок обжалования решений органа, действий (бездействия) должностных лиц по результатам профилактических и контрольных (надзорных) меропри</w:t>
            </w:r>
            <w:r>
              <w:rPr>
                <w:sz w:val="12"/>
                <w:szCs w:val="12"/>
              </w:rPr>
              <w:t>я</w:t>
            </w:r>
            <w:r>
              <w:rPr>
                <w:sz w:val="12"/>
                <w:szCs w:val="12"/>
              </w:rPr>
              <w:t>тий.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</w:t>
            </w:r>
            <w:r>
              <w:rPr>
                <w:sz w:val="12"/>
                <w:szCs w:val="12"/>
              </w:rPr>
              <w:t>к</w:t>
            </w:r>
            <w:r>
              <w:rPr>
                <w:sz w:val="12"/>
                <w:szCs w:val="12"/>
              </w:rPr>
              <w:t xml:space="preserve">тронной почты, </w:t>
            </w:r>
            <w:proofErr w:type="spellStart"/>
            <w:r>
              <w:rPr>
                <w:sz w:val="12"/>
                <w:szCs w:val="12"/>
              </w:rPr>
              <w:t>видео-конференц-связи</w:t>
            </w:r>
            <w:proofErr w:type="spellEnd"/>
            <w:r>
              <w:rPr>
                <w:sz w:val="12"/>
                <w:szCs w:val="12"/>
              </w:rPr>
              <w:t>, при получении письменного запроса – в письменной форме, в ходе контрольно-надзорного мероприятия либо проф</w:t>
            </w:r>
            <w:r>
              <w:rPr>
                <w:sz w:val="12"/>
                <w:szCs w:val="12"/>
              </w:rPr>
              <w:t>и</w:t>
            </w:r>
            <w:r>
              <w:rPr>
                <w:sz w:val="12"/>
                <w:szCs w:val="12"/>
              </w:rPr>
              <w:t>лактического мероприятия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сельсовета/Глава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течение года</w:t>
            </w:r>
          </w:p>
        </w:tc>
      </w:tr>
      <w:tr w:rsidR="00CC3005" w:rsidTr="00CC3005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Профилактический визит </w:t>
            </w:r>
            <w:proofErr w:type="gramStart"/>
            <w:r>
              <w:rPr>
                <w:sz w:val="12"/>
                <w:szCs w:val="12"/>
              </w:rPr>
              <w:t>проводится должностным лицом проводится</w:t>
            </w:r>
            <w:proofErr w:type="gramEnd"/>
            <w:r>
              <w:rPr>
                <w:sz w:val="12"/>
                <w:szCs w:val="12"/>
              </w:rPr>
              <w:t xml:space="preserve"> в форме профилактической беседы по месту осуществления деятельности контролиру</w:t>
            </w:r>
            <w:r>
              <w:rPr>
                <w:sz w:val="12"/>
                <w:szCs w:val="12"/>
              </w:rPr>
              <w:t>е</w:t>
            </w:r>
            <w:r>
              <w:rPr>
                <w:sz w:val="12"/>
                <w:szCs w:val="12"/>
              </w:rPr>
              <w:t xml:space="preserve">мого лица либо путем использования </w:t>
            </w:r>
            <w:proofErr w:type="spellStart"/>
            <w:r>
              <w:rPr>
                <w:sz w:val="12"/>
                <w:szCs w:val="12"/>
              </w:rPr>
              <w:t>видео-конференц-связи</w:t>
            </w:r>
            <w:proofErr w:type="spellEnd"/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сельсовета/Глава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течение года по согласованию с контролируемыми лицами</w:t>
            </w:r>
          </w:p>
        </w:tc>
      </w:tr>
      <w:tr w:rsidR="00CC3005" w:rsidTr="00CC3005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5.1.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Профилактический визит к ИП Бабкина Л.Г.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сельсовета/Глава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квартал/апрель 2024 г.</w:t>
            </w:r>
          </w:p>
        </w:tc>
      </w:tr>
      <w:tr w:rsidR="00CC3005" w:rsidTr="00CC3005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Профилактический визит к ИП Ситников А.А.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сельсовета/Глава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3005" w:rsidRDefault="00CC300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квартал/ октябрь 2024 г.</w:t>
            </w:r>
          </w:p>
        </w:tc>
      </w:tr>
    </w:tbl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4. Показатели результативности и эффективности программы профилактики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4.1. Основным механизмом оценки эффективности и результативности профилактических мероприятий является: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снижение уровня нарушений соблюдений обязательных требований контролируемыми лицами;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ния проверок, правах контролируемых лиц в ходе проверки;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понятность обязательных требований, обеспечивающая их однозначное толкование контролируемыми лицами и контрольным органом;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вовлечение контролируемых лиц в регулярное взаимодействие с контрольным органом.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4.2. Системой показателей эффективности программы является уровень правовой грамотности в регулируемых сферах и, как следствие, снижение уровня правонаруш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ний.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4.3.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Объявление предостережений в условиях постоянного уменьшения количества плановых и внеплановых контрольных (надзорных) мероприятий является одним из самых приемлемых механизмов взаимодействия между инспекторами и контролируемыми лицами (указанное позволяет контролируемому лицу получить сведения в упреждающем режиме об обязательных требованиях, предъявляемых к его деятельности либо к принадлежащим ему объектам контроля, о видах, содержании и об и</w:t>
      </w:r>
      <w:r>
        <w:rPr>
          <w:rFonts w:ascii="Tahoma" w:hAnsi="Tahoma" w:cs="Tahoma"/>
          <w:color w:val="000000"/>
          <w:sz w:val="12"/>
          <w:szCs w:val="12"/>
        </w:rPr>
        <w:t>н</w:t>
      </w:r>
      <w:r>
        <w:rPr>
          <w:rFonts w:ascii="Tahoma" w:hAnsi="Tahoma" w:cs="Tahoma"/>
          <w:color w:val="000000"/>
          <w:sz w:val="12"/>
          <w:szCs w:val="12"/>
        </w:rPr>
        <w:t>тенсивности контрольных (надзорных) мероприятий, а инспектору выявлять непосредственную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угрозу причинения вреда (ущерба) или факты причинения такого вреда (ущерба), что в последующем позволит принять решения о проведении контрольных (надзорных) мероприятий или и др.).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3005" w:rsidRDefault="00CC3005" w:rsidP="00CC300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C7D3C" w:rsidRPr="00CC3005" w:rsidRDefault="001C7D3C" w:rsidP="00CC3005">
      <w:pPr>
        <w:rPr>
          <w:szCs w:val="16"/>
        </w:rPr>
      </w:pPr>
    </w:p>
    <w:sectPr w:rsidR="001C7D3C" w:rsidRPr="00CC3005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D19" w:rsidRDefault="00F60D19" w:rsidP="00D54FB2">
      <w:r>
        <w:separator/>
      </w:r>
    </w:p>
  </w:endnote>
  <w:endnote w:type="continuationSeparator" w:id="0">
    <w:p w:rsidR="00F60D19" w:rsidRDefault="00F60D19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D19" w:rsidRDefault="00F60D19" w:rsidP="00D54FB2">
      <w:r>
        <w:separator/>
      </w:r>
    </w:p>
  </w:footnote>
  <w:footnote w:type="continuationSeparator" w:id="0">
    <w:p w:rsidR="00F60D19" w:rsidRDefault="00F60D19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B95B0D" w:rsidP="00D54FB2">
    <w:pPr>
      <w:pStyle w:val="a7"/>
      <w:jc w:val="center"/>
    </w:pPr>
    <w:fldSimple w:instr=" PAGE   \* MERGEFORMAT ">
      <w:r w:rsidR="00CC3005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050DD"/>
    <w:multiLevelType w:val="multilevel"/>
    <w:tmpl w:val="D01A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617A8"/>
    <w:multiLevelType w:val="multilevel"/>
    <w:tmpl w:val="84BE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082797"/>
    <w:multiLevelType w:val="multilevel"/>
    <w:tmpl w:val="FE0C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CB7A6A"/>
    <w:multiLevelType w:val="multilevel"/>
    <w:tmpl w:val="EDF6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1C0A76"/>
    <w:multiLevelType w:val="multilevel"/>
    <w:tmpl w:val="16C4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2"/>
  </w:num>
  <w:num w:numId="3">
    <w:abstractNumId w:val="38"/>
  </w:num>
  <w:num w:numId="4">
    <w:abstractNumId w:val="15"/>
  </w:num>
  <w:num w:numId="5">
    <w:abstractNumId w:val="27"/>
  </w:num>
  <w:num w:numId="6">
    <w:abstractNumId w:val="33"/>
  </w:num>
  <w:num w:numId="7">
    <w:abstractNumId w:val="8"/>
  </w:num>
  <w:num w:numId="8">
    <w:abstractNumId w:val="23"/>
  </w:num>
  <w:num w:numId="9">
    <w:abstractNumId w:val="17"/>
  </w:num>
  <w:num w:numId="10">
    <w:abstractNumId w:val="10"/>
  </w:num>
  <w:num w:numId="11">
    <w:abstractNumId w:val="5"/>
  </w:num>
  <w:num w:numId="12">
    <w:abstractNumId w:val="34"/>
  </w:num>
  <w:num w:numId="13">
    <w:abstractNumId w:val="7"/>
  </w:num>
  <w:num w:numId="14">
    <w:abstractNumId w:val="28"/>
  </w:num>
  <w:num w:numId="15">
    <w:abstractNumId w:val="2"/>
  </w:num>
  <w:num w:numId="16">
    <w:abstractNumId w:val="30"/>
  </w:num>
  <w:num w:numId="17">
    <w:abstractNumId w:val="19"/>
  </w:num>
  <w:num w:numId="18">
    <w:abstractNumId w:val="32"/>
  </w:num>
  <w:num w:numId="19">
    <w:abstractNumId w:val="35"/>
  </w:num>
  <w:num w:numId="20">
    <w:abstractNumId w:val="0"/>
  </w:num>
  <w:num w:numId="21">
    <w:abstractNumId w:val="1"/>
  </w:num>
  <w:num w:numId="22">
    <w:abstractNumId w:val="25"/>
  </w:num>
  <w:num w:numId="23">
    <w:abstractNumId w:val="26"/>
  </w:num>
  <w:num w:numId="24">
    <w:abstractNumId w:val="24"/>
  </w:num>
  <w:num w:numId="25">
    <w:abstractNumId w:val="31"/>
  </w:num>
  <w:num w:numId="26">
    <w:abstractNumId w:val="13"/>
  </w:num>
  <w:num w:numId="27">
    <w:abstractNumId w:val="4"/>
  </w:num>
  <w:num w:numId="28">
    <w:abstractNumId w:val="9"/>
  </w:num>
  <w:num w:numId="29">
    <w:abstractNumId w:val="6"/>
  </w:num>
  <w:num w:numId="30">
    <w:abstractNumId w:val="16"/>
  </w:num>
  <w:num w:numId="31">
    <w:abstractNumId w:val="14"/>
  </w:num>
  <w:num w:numId="32">
    <w:abstractNumId w:val="18"/>
  </w:num>
  <w:num w:numId="33">
    <w:abstractNumId w:val="29"/>
  </w:num>
  <w:num w:numId="34">
    <w:abstractNumId w:val="3"/>
  </w:num>
  <w:num w:numId="35">
    <w:abstractNumId w:val="11"/>
  </w:num>
  <w:num w:numId="36">
    <w:abstractNumId w:val="12"/>
  </w:num>
  <w:num w:numId="37">
    <w:abstractNumId w:val="37"/>
  </w:num>
  <w:num w:numId="38">
    <w:abstractNumId w:val="36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48BE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13D"/>
    <w:rsid w:val="002112FD"/>
    <w:rsid w:val="00214788"/>
    <w:rsid w:val="002209D2"/>
    <w:rsid w:val="00221EA6"/>
    <w:rsid w:val="0022421F"/>
    <w:rsid w:val="00226913"/>
    <w:rsid w:val="00232932"/>
    <w:rsid w:val="002423C2"/>
    <w:rsid w:val="00247A5A"/>
    <w:rsid w:val="00291071"/>
    <w:rsid w:val="0029191C"/>
    <w:rsid w:val="002A5C34"/>
    <w:rsid w:val="002A7DBF"/>
    <w:rsid w:val="002B1D2C"/>
    <w:rsid w:val="002B3298"/>
    <w:rsid w:val="002B726D"/>
    <w:rsid w:val="002C0406"/>
    <w:rsid w:val="002C1AA1"/>
    <w:rsid w:val="002C2A10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59D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04A5"/>
    <w:rsid w:val="00753AD0"/>
    <w:rsid w:val="007540B7"/>
    <w:rsid w:val="0075603F"/>
    <w:rsid w:val="00756EE4"/>
    <w:rsid w:val="007570F2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0B71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3F1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1247"/>
    <w:rsid w:val="00A13156"/>
    <w:rsid w:val="00A166FC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281F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251B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2736B"/>
    <w:rsid w:val="00B314AA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5B0D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005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15BE"/>
    <w:rsid w:val="00DF2C28"/>
    <w:rsid w:val="00DF7E49"/>
    <w:rsid w:val="00E029B5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0D19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18A6"/>
    <w:rsid w:val="00FC7129"/>
    <w:rsid w:val="00FD28B1"/>
    <w:rsid w:val="00FD6434"/>
    <w:rsid w:val="00FE2ADC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27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2736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4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3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3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2207-8600-4590-A4A4-A54E4292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3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143</cp:revision>
  <cp:lastPrinted>2019-04-17T05:45:00Z</cp:lastPrinted>
  <dcterms:created xsi:type="dcterms:W3CDTF">2017-04-04T05:50:00Z</dcterms:created>
  <dcterms:modified xsi:type="dcterms:W3CDTF">2024-08-30T05:48:00Z</dcterms:modified>
</cp:coreProperties>
</file>